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TSG202304</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val="en-US" w:eastAsia="zh-CN"/>
        </w:rPr>
        <w:t>万方数据知识服务平台</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图书馆</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w:t>
      </w:r>
      <w:r>
        <w:rPr>
          <w:rFonts w:hint="eastAsia" w:ascii="仿宋_GB2312" w:hAnsi="宋体" w:eastAsia="黑体" w:cs="宋体"/>
          <w:b/>
          <w:bCs/>
          <w:sz w:val="32"/>
          <w:lang w:val="en-US" w:eastAsia="zh-CN"/>
        </w:rPr>
        <w:t>三</w:t>
      </w:r>
      <w:r>
        <w:rPr>
          <w:rFonts w:hint="eastAsia" w:ascii="仿宋_GB2312" w:hAnsi="宋体" w:eastAsia="仿宋_GB2312" w:cs="仿宋_GB2312"/>
          <w:b/>
          <w:bCs/>
          <w:sz w:val="32"/>
        </w:rPr>
        <w:t>年十</w:t>
      </w:r>
      <w:r>
        <w:rPr>
          <w:rFonts w:hint="eastAsia" w:ascii="仿宋_GB2312" w:hAnsi="宋体" w:eastAsia="仿宋_GB2312" w:cs="仿宋_GB2312"/>
          <w:b/>
          <w:bCs/>
          <w:sz w:val="32"/>
          <w:lang w:val="en-US" w:eastAsia="zh-CN"/>
        </w:rPr>
        <w:t>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500" w:lineRule="exact"/>
        <w:ind w:right="-44" w:rightChars="-21" w:firstLine="480" w:firstLineChars="200"/>
        <w:rPr>
          <w:rFonts w:hint="eastAsia" w:ascii="仿宋_GB2312" w:hAnsi="宋体" w:eastAsia="仿宋_GB2312"/>
          <w:sz w:val="24"/>
        </w:rPr>
      </w:pP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图书馆</w:t>
      </w:r>
      <w:r>
        <w:rPr>
          <w:rFonts w:hint="eastAsia" w:ascii="仿宋_GB2312" w:hAnsi="宋体" w:eastAsia="仿宋_GB2312"/>
          <w:sz w:val="24"/>
        </w:rPr>
        <w:t>所需的</w:t>
      </w:r>
      <w:r>
        <w:rPr>
          <w:rFonts w:hint="eastAsia" w:ascii="仿宋_GB2312" w:hAnsi="宋体" w:eastAsia="仿宋_GB2312"/>
          <w:sz w:val="24"/>
          <w:lang w:val="en-US" w:eastAsia="zh-CN"/>
        </w:rPr>
        <w:t>万方数据知识服务平台采购</w:t>
      </w:r>
      <w:r>
        <w:rPr>
          <w:rFonts w:hint="eastAsia" w:ascii="仿宋_GB2312" w:hAnsi="宋体" w:eastAsia="仿宋_GB2312"/>
          <w:sz w:val="24"/>
        </w:rPr>
        <w:t>项目进行比价采购，特邀请国内合格的供应商前来提交密封的比价文件。</w:t>
      </w:r>
    </w:p>
    <w:p>
      <w:pPr>
        <w:spacing w:line="500" w:lineRule="exact"/>
        <w:ind w:right="-44" w:rightChars="-2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TSG202304</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万方数据知识服务平台</w:t>
      </w:r>
      <w:r>
        <w:rPr>
          <w:rFonts w:hint="eastAsia" w:ascii="仿宋_GB2312" w:hAnsi="宋体" w:eastAsia="仿宋_GB2312"/>
          <w:sz w:val="24"/>
        </w:rPr>
        <w:t>采购</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22</w:t>
      </w:r>
      <w:r>
        <w:rPr>
          <w:rFonts w:hint="eastAsia" w:ascii="仿宋_GB2312" w:hAnsi="宋体" w:eastAsia="仿宋_GB2312"/>
          <w:sz w:val="24"/>
        </w:rPr>
        <w:t>日上午9：00（北京时间）。逾期收到或不符合规定的比价文件不予接受。</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23</w:t>
      </w:r>
      <w:r>
        <w:rPr>
          <w:rFonts w:hint="eastAsia" w:ascii="仿宋_GB2312" w:hAnsi="宋体" w:eastAsia="仿宋_GB2312"/>
          <w:sz w:val="24"/>
        </w:rPr>
        <w:t>日上午9：00（北京时间）</w:t>
      </w:r>
    </w:p>
    <w:p>
      <w:pPr>
        <w:spacing w:line="500" w:lineRule="exact"/>
        <w:ind w:right="-44" w:rightChars="-21" w:firstLine="480" w:firstLineChars="200"/>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val="en-US" w:eastAsia="zh-CN"/>
        </w:rPr>
        <w:t>综合楼202</w:t>
      </w:r>
      <w:r>
        <w:rPr>
          <w:rFonts w:hint="eastAsia" w:ascii="仿宋_GB2312" w:hAnsi="宋体" w:eastAsia="仿宋_GB2312"/>
          <w:sz w:val="24"/>
          <w:lang w:eastAsia="zh-CN"/>
        </w:rPr>
        <w:t>室</w:t>
      </w:r>
    </w:p>
    <w:p>
      <w:pPr>
        <w:spacing w:line="500" w:lineRule="exact"/>
        <w:ind w:firstLine="480" w:firstLineChars="200"/>
        <w:rPr>
          <w:rFonts w:ascii="仿宋_GB2312" w:hAnsi="宋体" w:eastAsia="仿宋_GB2312"/>
          <w:sz w:val="24"/>
        </w:rPr>
      </w:pPr>
      <w:bookmarkStart w:id="0" w:name="_GoBack"/>
      <w:bookmarkEnd w:id="0"/>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电   话：（0598）</w:t>
      </w:r>
      <w:r>
        <w:rPr>
          <w:rFonts w:hint="eastAsia" w:ascii="仿宋_GB2312" w:hAnsi="宋体" w:eastAsia="仿宋_GB2312"/>
          <w:sz w:val="24"/>
          <w:lang w:val="en-US" w:eastAsia="zh-CN"/>
        </w:rPr>
        <w:t>8823898</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沈老师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407164674@qq.com</w:t>
      </w: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hint="eastAsia" w:ascii="仿宋_GB2312" w:hAnsi="宋体" w:eastAsia="仿宋_GB2312"/>
                <w:sz w:val="24"/>
              </w:rPr>
            </w:pPr>
            <w:r>
              <w:rPr>
                <w:rFonts w:hint="eastAsia" w:ascii="仿宋_GB2312" w:hAnsi="宋体" w:eastAsia="仿宋_GB2312"/>
                <w:sz w:val="24"/>
                <w:lang w:val="en-US" w:eastAsia="zh-CN"/>
              </w:rPr>
              <w:t>万方数据知识服务平台</w:t>
            </w:r>
            <w:r>
              <w:rPr>
                <w:rFonts w:hint="eastAsia" w:ascii="仿宋_GB2312" w:hAnsi="宋体" w:eastAsia="仿宋_GB2312"/>
                <w:sz w:val="24"/>
              </w:rPr>
              <w:t>采购</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82000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1"/>
        <w:spacing w:before="156" w:beforeLines="50"/>
        <w:ind w:left="23" w:leftChars="11" w:firstLine="480" w:firstLineChars="200"/>
        <w:rPr>
          <w:rFonts w:ascii="仿宋_GB2312" w:eastAsia="仿宋_GB2312"/>
        </w:rPr>
      </w:pPr>
      <w:r>
        <w:rPr>
          <w:rFonts w:hint="eastAsia" w:ascii="仿宋_GB2312" w:eastAsia="仿宋_GB2312"/>
        </w:rPr>
        <w:t>注：</w:t>
      </w:r>
    </w:p>
    <w:p>
      <w:pPr>
        <w:pStyle w:val="21"/>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1"/>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1"/>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23</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val="en-US" w:eastAsia="zh-CN"/>
        </w:rPr>
        <w:t>综合202室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w:t>
      </w:r>
      <w:r>
        <w:rPr>
          <w:rFonts w:hint="eastAsia" w:ascii="仿宋_GB2312" w:eastAsia="仿宋_GB2312"/>
          <w:b/>
          <w:bCs/>
          <w:sz w:val="24"/>
          <w:lang w:val="en-US" w:eastAsia="zh-CN"/>
        </w:rPr>
        <w:t>于福建水利电力职业技术学院图书馆</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信息素养网络服务平台</w:t>
      </w:r>
      <w:r>
        <w:rPr>
          <w:rFonts w:hint="eastAsia" w:ascii="仿宋_GB2312" w:hAnsi="宋体" w:eastAsia="仿宋_GB2312"/>
          <w:sz w:val="24"/>
        </w:rPr>
        <w:t>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rPr>
        <w:t>合同签订后15日内</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8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1339"/>
        <w:gridCol w:w="1548"/>
        <w:gridCol w:w="152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733"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339"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548"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527"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527"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733" w:type="dxa"/>
            <w:vAlign w:val="center"/>
          </w:tcPr>
          <w:p>
            <w:pPr>
              <w:jc w:val="both"/>
              <w:rPr>
                <w:rFonts w:ascii="宋体" w:hAnsi="宋体" w:cs="Arial Unicode MS"/>
                <w:szCs w:val="21"/>
              </w:rPr>
            </w:pPr>
            <w:r>
              <w:rPr>
                <w:rFonts w:hint="eastAsia" w:ascii="仿宋_GB2312" w:hAnsi="宋体" w:eastAsia="仿宋_GB2312"/>
                <w:sz w:val="24"/>
                <w:lang w:val="en-US" w:eastAsia="zh-CN"/>
              </w:rPr>
              <w:t>万方数据知识服务平台</w:t>
            </w:r>
          </w:p>
        </w:tc>
        <w:tc>
          <w:tcPr>
            <w:tcW w:w="133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1548"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527" w:type="dxa"/>
            <w:vAlign w:val="center"/>
          </w:tcPr>
          <w:p>
            <w:pPr>
              <w:jc w:val="center"/>
              <w:rPr>
                <w:rFonts w:hint="default" w:ascii="宋体" w:hAnsi="宋体" w:eastAsia="宋体" w:cs="Arial Unicode MS"/>
                <w:szCs w:val="21"/>
                <w:lang w:val="en-US" w:eastAsia="zh-CN"/>
              </w:rPr>
            </w:pPr>
            <w:r>
              <w:rPr>
                <w:rFonts w:hint="eastAsia" w:ascii="仿宋_GB2312" w:hAnsi="宋体" w:eastAsia="仿宋_GB2312"/>
                <w:sz w:val="24"/>
                <w:lang w:val="en-US" w:eastAsia="zh-CN"/>
              </w:rPr>
              <w:t>见附件1</w:t>
            </w:r>
          </w:p>
        </w:tc>
        <w:tc>
          <w:tcPr>
            <w:tcW w:w="1527"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733" w:type="dxa"/>
            <w:vAlign w:val="center"/>
          </w:tcPr>
          <w:p>
            <w:pPr>
              <w:jc w:val="center"/>
              <w:rPr>
                <w:rFonts w:ascii="宋体" w:hAnsi="宋体" w:cs="Arial Unicode MS"/>
                <w:szCs w:val="21"/>
              </w:rPr>
            </w:pPr>
          </w:p>
        </w:tc>
        <w:tc>
          <w:tcPr>
            <w:tcW w:w="1339" w:type="dxa"/>
            <w:vAlign w:val="center"/>
          </w:tcPr>
          <w:p>
            <w:pPr>
              <w:jc w:val="center"/>
              <w:rPr>
                <w:rFonts w:ascii="宋体" w:hAnsi="宋体"/>
                <w:szCs w:val="21"/>
              </w:rPr>
            </w:pPr>
          </w:p>
        </w:tc>
        <w:tc>
          <w:tcPr>
            <w:tcW w:w="1548" w:type="dxa"/>
            <w:vAlign w:val="center"/>
          </w:tcPr>
          <w:p>
            <w:pPr>
              <w:jc w:val="center"/>
              <w:rPr>
                <w:rFonts w:ascii="宋体" w:hAnsi="宋体" w:cs="宋体"/>
                <w:szCs w:val="21"/>
              </w:rPr>
            </w:pPr>
          </w:p>
        </w:tc>
        <w:tc>
          <w:tcPr>
            <w:tcW w:w="1527" w:type="dxa"/>
            <w:vAlign w:val="center"/>
          </w:tcPr>
          <w:p>
            <w:pPr>
              <w:jc w:val="center"/>
              <w:rPr>
                <w:rFonts w:ascii="宋体" w:hAnsi="宋体" w:cs="Arial Unicode MS"/>
                <w:szCs w:val="21"/>
              </w:rPr>
            </w:pPr>
          </w:p>
        </w:tc>
        <w:tc>
          <w:tcPr>
            <w:tcW w:w="1527"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733" w:type="dxa"/>
            <w:vAlign w:val="center"/>
          </w:tcPr>
          <w:p>
            <w:pPr>
              <w:jc w:val="center"/>
              <w:rPr>
                <w:rFonts w:ascii="宋体" w:hAnsi="宋体" w:cs="Arial Unicode MS"/>
                <w:szCs w:val="21"/>
              </w:rPr>
            </w:pPr>
          </w:p>
        </w:tc>
        <w:tc>
          <w:tcPr>
            <w:tcW w:w="1339" w:type="dxa"/>
            <w:vAlign w:val="center"/>
          </w:tcPr>
          <w:p>
            <w:pPr>
              <w:jc w:val="center"/>
              <w:rPr>
                <w:rFonts w:ascii="宋体" w:hAnsi="宋体"/>
                <w:szCs w:val="21"/>
              </w:rPr>
            </w:pPr>
          </w:p>
        </w:tc>
        <w:tc>
          <w:tcPr>
            <w:tcW w:w="1548" w:type="dxa"/>
            <w:vAlign w:val="center"/>
          </w:tcPr>
          <w:p>
            <w:pPr>
              <w:jc w:val="center"/>
              <w:rPr>
                <w:rFonts w:ascii="宋体" w:hAnsi="宋体" w:cs="宋体"/>
                <w:szCs w:val="21"/>
              </w:rPr>
            </w:pPr>
          </w:p>
        </w:tc>
        <w:tc>
          <w:tcPr>
            <w:tcW w:w="1527" w:type="dxa"/>
            <w:vAlign w:val="center"/>
          </w:tcPr>
          <w:p>
            <w:pPr>
              <w:jc w:val="center"/>
              <w:rPr>
                <w:rFonts w:ascii="宋体" w:hAnsi="宋体" w:cs="Arial Unicode MS"/>
                <w:szCs w:val="21"/>
              </w:rPr>
            </w:pPr>
          </w:p>
        </w:tc>
        <w:tc>
          <w:tcPr>
            <w:tcW w:w="1527"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733" w:type="dxa"/>
            <w:vAlign w:val="center"/>
          </w:tcPr>
          <w:p>
            <w:pPr>
              <w:jc w:val="center"/>
              <w:rPr>
                <w:rFonts w:ascii="宋体" w:hAnsi="宋体" w:cs="Arial Unicode MS"/>
                <w:szCs w:val="21"/>
              </w:rPr>
            </w:pPr>
          </w:p>
        </w:tc>
        <w:tc>
          <w:tcPr>
            <w:tcW w:w="1339" w:type="dxa"/>
            <w:vAlign w:val="center"/>
          </w:tcPr>
          <w:p>
            <w:pPr>
              <w:jc w:val="center"/>
              <w:rPr>
                <w:rFonts w:ascii="宋体" w:hAnsi="宋体"/>
                <w:szCs w:val="21"/>
              </w:rPr>
            </w:pPr>
          </w:p>
        </w:tc>
        <w:tc>
          <w:tcPr>
            <w:tcW w:w="1548" w:type="dxa"/>
            <w:vAlign w:val="center"/>
          </w:tcPr>
          <w:p>
            <w:pPr>
              <w:jc w:val="center"/>
              <w:rPr>
                <w:rFonts w:ascii="宋体" w:hAnsi="宋体" w:cs="宋体"/>
                <w:szCs w:val="21"/>
              </w:rPr>
            </w:pPr>
          </w:p>
        </w:tc>
        <w:tc>
          <w:tcPr>
            <w:tcW w:w="1527" w:type="dxa"/>
            <w:vAlign w:val="center"/>
          </w:tcPr>
          <w:p>
            <w:pPr>
              <w:jc w:val="center"/>
              <w:rPr>
                <w:rFonts w:ascii="宋体" w:hAnsi="宋体" w:cs="Arial Unicode MS"/>
                <w:szCs w:val="21"/>
              </w:rPr>
            </w:pPr>
          </w:p>
        </w:tc>
        <w:tc>
          <w:tcPr>
            <w:tcW w:w="1527"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733" w:type="dxa"/>
            <w:vAlign w:val="center"/>
          </w:tcPr>
          <w:p>
            <w:pPr>
              <w:jc w:val="center"/>
              <w:rPr>
                <w:rFonts w:ascii="宋体" w:hAnsi="宋体" w:cs="Arial Unicode MS"/>
                <w:szCs w:val="21"/>
              </w:rPr>
            </w:pPr>
          </w:p>
        </w:tc>
        <w:tc>
          <w:tcPr>
            <w:tcW w:w="1339" w:type="dxa"/>
            <w:vAlign w:val="center"/>
          </w:tcPr>
          <w:p>
            <w:pPr>
              <w:jc w:val="center"/>
              <w:rPr>
                <w:rFonts w:ascii="宋体" w:hAnsi="宋体"/>
                <w:szCs w:val="21"/>
              </w:rPr>
            </w:pPr>
          </w:p>
        </w:tc>
        <w:tc>
          <w:tcPr>
            <w:tcW w:w="1548" w:type="dxa"/>
            <w:vAlign w:val="center"/>
          </w:tcPr>
          <w:p>
            <w:pPr>
              <w:jc w:val="center"/>
              <w:rPr>
                <w:rFonts w:ascii="宋体" w:hAnsi="宋体" w:cs="宋体"/>
                <w:szCs w:val="21"/>
              </w:rPr>
            </w:pPr>
          </w:p>
        </w:tc>
        <w:tc>
          <w:tcPr>
            <w:tcW w:w="1527" w:type="dxa"/>
            <w:vAlign w:val="center"/>
          </w:tcPr>
          <w:p>
            <w:pPr>
              <w:jc w:val="center"/>
              <w:rPr>
                <w:rFonts w:ascii="宋体" w:hAnsi="宋体" w:cs="Arial Unicode MS"/>
                <w:szCs w:val="21"/>
              </w:rPr>
            </w:pPr>
          </w:p>
        </w:tc>
        <w:tc>
          <w:tcPr>
            <w:tcW w:w="1527"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val="en-US" w:eastAsia="zh-CN"/>
        </w:rPr>
        <w:t>附件1</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p/>
    <w:p/>
    <w:p>
      <w:pPr>
        <w:spacing w:line="440" w:lineRule="exact"/>
        <w:ind w:firstLine="602" w:firstLineChars="200"/>
        <w:outlineLvl w:val="0"/>
        <w:rPr>
          <w:rFonts w:hint="default" w:ascii="仿宋_GB2312" w:hAnsi="宋体" w:eastAsia="仿宋_GB2312"/>
          <w:sz w:val="24"/>
          <w:lang w:val="en-US" w:eastAsia="zh-CN"/>
        </w:rPr>
      </w:pPr>
      <w:r>
        <w:rPr>
          <w:rFonts w:hint="eastAsia" w:ascii="仿宋_GB2312" w:eastAsia="仿宋_GB2312"/>
          <w:b/>
          <w:bCs/>
          <w:sz w:val="30"/>
          <w:szCs w:val="30"/>
          <w:lang w:val="en-US" w:eastAsia="zh-CN"/>
        </w:rPr>
        <w:t>附件1：</w:t>
      </w:r>
      <w:r>
        <w:rPr>
          <w:rFonts w:hint="eastAsia" w:ascii="仿宋_GB2312" w:hAnsi="宋体" w:eastAsia="仿宋_GB2312"/>
          <w:b/>
          <w:bCs/>
          <w:sz w:val="24"/>
          <w:lang w:val="en-US" w:eastAsia="zh-CN"/>
        </w:rPr>
        <w:t xml:space="preserve">   </w:t>
      </w:r>
      <w:r>
        <w:rPr>
          <w:rFonts w:hint="eastAsia" w:ascii="仿宋_GB2312" w:hAnsi="宋体" w:eastAsia="仿宋_GB2312"/>
          <w:b/>
          <w:bCs/>
          <w:sz w:val="30"/>
          <w:szCs w:val="30"/>
          <w:lang w:val="en-US" w:eastAsia="zh-CN"/>
        </w:rPr>
        <w:t xml:space="preserve"> </w:t>
      </w:r>
      <w:r>
        <w:rPr>
          <w:rFonts w:hint="eastAsia" w:ascii="仿宋_GB2312" w:eastAsia="仿宋_GB2312"/>
          <w:b/>
          <w:bCs/>
          <w:sz w:val="30"/>
          <w:szCs w:val="30"/>
          <w:lang w:val="en-US" w:eastAsia="zh-CN"/>
        </w:rPr>
        <w:t>万方数据知识服务平台</w:t>
      </w:r>
      <w:r>
        <w:rPr>
          <w:rFonts w:hint="eastAsia" w:ascii="仿宋_GB2312" w:hAnsi="宋体" w:eastAsia="仿宋_GB2312"/>
          <w:b/>
          <w:bCs/>
          <w:sz w:val="30"/>
          <w:szCs w:val="30"/>
          <w:lang w:val="en-US" w:eastAsia="zh-CN"/>
        </w:rPr>
        <w:t>介绍和参数</w:t>
      </w:r>
    </w:p>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一、采购内容</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1、远程访问万方数据知识服务平台，包含：</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1.1中国学术期刊数据库；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1.2中国学位论文全文数据库；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1.3中国学术会议文献数据库；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1.4中外标准文摘数据库；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1.5中外专利数据库；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1.6中外科技报告数据库；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1.7中国科技成果数据库；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1.8中国法律法规数据库；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1.9地方志数据库</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2、本地镜像安装2024年学校相关专业中国学位论文全文数据库及相关专业标准。</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二、采购内容要求</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2.1并发用户数（即订购用户单位内部允许同时登录的最终用户数）：无并发数限制。</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2.2提供多种检索方式：</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（1）“一框式”检索简约便捷，保证查全率；</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（2）二次检索：可在检索结果页增加或调整检索条件，缩小检索范围；</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（3）高级检索：满足用户专业、复杂的检索要求，获得精准资源信息，提高查准率。</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2.3导航要求：多维度的资源分类导航，要有结合 资源特点的学科、地区、刊名首字母、出版单位等导航，便于查找浏览资源。</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2.4检索结果处理：智能排序。检索结果自动聚类，通过智能排序算法呈现出与用户最相关、最权威、最新的资源，提高工作效率。</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2.5国际通用格式PDF和HTML格式浏览文献，支持在线浏览、下载、保存、可随意复制到Word或其他文档，打印文献全文。</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2.6对用户提供浏览文献、下载文献、订阅文献、收藏文献等便利功能。</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2.7提供统计分析功能：对所有或单个用户进行全文下载次数、检索次数、IP段内使用情况等统计分析。</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2.8《万方数据知识服务平台》提供使用的九个子库包括：</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《中国学术期刊数据库》：收录始于1998年，包含8000余种期刊，其中包含北京大学、中国科学技术信息研究所、中国科学院文献情报中心、南京大学、中国社会科学院历年收录的核心期刊3300余种。</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国学位论文全文数据库》：收录始于1980年，涵盖基础科学、理学、工业技术、人文科学、社会科学、医药卫生、农业科学、交通运输、航空航天和环境科学等各学科领域，共收录约450万篇全文。中国学位论文全文数据库年增30万余篇。</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国学术会议文献数据库》：会议资源包括中文会议和外文会议，中文会议收录始于1982年，年收集约2000个重要学术会议，年增10万篇论文，每月更新。外文会议主要来源于NSTL外文文献数据库，收录了1985年以来世界各主要学协会、出版机构出版的学术会议论文（部分文献有少量回溯），每年增加论文约20余万篇，每月更新。</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《中外标准文摘数据库》：收录了所有中国国家标准（GB）、中国行业标准（HB）、以及中外标准题录文摘数据，共计240万条。</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外专利数据库》：收录始于1985年，目前共收录中国专利3000万余条，国外专利1亿余条。收录范围涉及十一国两组织，其中十一国为：中国、美国、澳大利亚、加拿大、瑞士、德国、法国、英国、日本、韩国、俄罗斯；两组织为：世界专利组织、欧洲专利局。</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外科技报告数据库》：包括中文科技报告和外文科技报告。中文科技报告收录始于1966年，源于中华人民共和国科学技术部，共计2.6万余份。外文科技报告收录始于1958年，涵盖美国政府四大科技报告（AD、DE、NASA、PB），共计110万余份。</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国科技成果数据库》：收录了自1978年以来国家和地方主要科技计划、科技奖励成果，以及企业、高等院校和科研院所等单位的科技成果信息，涵盖新技术、新产品、新工艺、新材料、新设计等众多学科领域，共计60余万条。数据库每两月更新一次，年新增数据1万条以上。</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《中国法律法规数据库》：收录始于1949年，涵盖国家法律法规、行政法规、地方法规、国际条约及惯例、司法解释、合同范本等，信息来源权威、专业。共计130万条，月更新，年新增量不低于8万条。</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地方志数据库》：地方志，简称“方志”，即按一定体例，全面记载某一时期某一地域的自然、社会、政治、经济、文化等方面情况或特定事项的书籍文献。通常按年代分为新方志、旧方志，新方志收录始于1949年，共计4.7万册，旧方志收录年代为新中国成立之前，旧方志收录为新中国成立之前，8600余种，10万多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ZjcwYTU3NTQ3NjUyMmU0MmU1MTViNmNmZjA3OG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B00856"/>
    <w:rsid w:val="0B7C6604"/>
    <w:rsid w:val="11720952"/>
    <w:rsid w:val="146B7E31"/>
    <w:rsid w:val="168B4A2F"/>
    <w:rsid w:val="1C476181"/>
    <w:rsid w:val="1CB17C2A"/>
    <w:rsid w:val="1DBA2C3C"/>
    <w:rsid w:val="1EFF1EB9"/>
    <w:rsid w:val="21BC51D5"/>
    <w:rsid w:val="2584186B"/>
    <w:rsid w:val="297A3BDD"/>
    <w:rsid w:val="3D6626DF"/>
    <w:rsid w:val="3E0B3FB4"/>
    <w:rsid w:val="3EB64BCF"/>
    <w:rsid w:val="3ED978CB"/>
    <w:rsid w:val="44354C47"/>
    <w:rsid w:val="452D7547"/>
    <w:rsid w:val="483861F4"/>
    <w:rsid w:val="69D4474B"/>
    <w:rsid w:val="72053AAD"/>
    <w:rsid w:val="748C590E"/>
    <w:rsid w:val="77C83823"/>
    <w:rsid w:val="7B18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2"/>
    <w:semiHidden/>
    <w:unhideWhenUsed/>
    <w:qFormat/>
    <w:uiPriority w:val="99"/>
    <w:pPr>
      <w:jc w:val="left"/>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4"/>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0">
    <w:name w:val="annotation subject"/>
    <w:basedOn w:val="4"/>
    <w:next w:val="4"/>
    <w:link w:val="23"/>
    <w:semiHidden/>
    <w:unhideWhenUsed/>
    <w:qFormat/>
    <w:uiPriority w:val="99"/>
    <w:rPr>
      <w:b/>
      <w:bCs/>
    </w:r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0"/>
    <w:rPr>
      <w:sz w:val="18"/>
      <w:szCs w:val="18"/>
    </w:rPr>
  </w:style>
  <w:style w:type="character" w:customStyle="1" w:styleId="17">
    <w:name w:val="页脚 Char"/>
    <w:basedOn w:val="12"/>
    <w:link w:val="7"/>
    <w:qFormat/>
    <w:uiPriority w:val="0"/>
    <w:rPr>
      <w:sz w:val="18"/>
      <w:szCs w:val="18"/>
    </w:rPr>
  </w:style>
  <w:style w:type="character" w:customStyle="1" w:styleId="18">
    <w:name w:val="标题 1 Char"/>
    <w:basedOn w:val="12"/>
    <w:link w:val="2"/>
    <w:qFormat/>
    <w:uiPriority w:val="0"/>
    <w:rPr>
      <w:rFonts w:ascii="Times New Roman" w:hAnsi="Times New Roman" w:eastAsia="宋体" w:cs="Times New Roman"/>
      <w:b/>
      <w:bCs/>
      <w:kern w:val="44"/>
      <w:sz w:val="44"/>
      <w:szCs w:val="44"/>
    </w:rPr>
  </w:style>
  <w:style w:type="character" w:customStyle="1" w:styleId="19">
    <w:name w:val="纯文本 Char"/>
    <w:basedOn w:val="12"/>
    <w:link w:val="5"/>
    <w:qFormat/>
    <w:uiPriority w:val="0"/>
    <w:rPr>
      <w:rFonts w:ascii="宋体" w:hAnsi="Courier New" w:eastAsia="宋体"/>
    </w:rPr>
  </w:style>
  <w:style w:type="character" w:customStyle="1" w:styleId="20">
    <w:name w:val="纯文本 Char1"/>
    <w:basedOn w:val="12"/>
    <w:semiHidden/>
    <w:qFormat/>
    <w:uiPriority w:val="99"/>
    <w:rPr>
      <w:rFonts w:ascii="宋体" w:hAnsi="Courier New" w:eastAsia="宋体" w:cs="Courier New"/>
      <w:szCs w:val="21"/>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2"/>
    <w:link w:val="4"/>
    <w:semiHidden/>
    <w:qFormat/>
    <w:uiPriority w:val="99"/>
    <w:rPr>
      <w:rFonts w:ascii="Times New Roman" w:hAnsi="Times New Roman" w:eastAsia="宋体" w:cs="Times New Roman"/>
      <w:szCs w:val="24"/>
    </w:rPr>
  </w:style>
  <w:style w:type="character" w:customStyle="1" w:styleId="23">
    <w:name w:val="批注主题 Char"/>
    <w:basedOn w:val="22"/>
    <w:link w:val="10"/>
    <w:semiHidden/>
    <w:qFormat/>
    <w:uiPriority w:val="99"/>
    <w:rPr>
      <w:rFonts w:ascii="Times New Roman" w:hAnsi="Times New Roman" w:eastAsia="宋体" w:cs="Times New Roman"/>
      <w:b/>
      <w:bCs/>
      <w:szCs w:val="24"/>
    </w:rPr>
  </w:style>
  <w:style w:type="character" w:customStyle="1" w:styleId="24">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1990</Words>
  <Characters>2099</Characters>
  <Lines>12</Lines>
  <Paragraphs>3</Paragraphs>
  <TotalTime>16</TotalTime>
  <ScaleCrop>false</ScaleCrop>
  <LinksUpToDate>false</LinksUpToDate>
  <CharactersWithSpaces>2140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2023-11-17T06:54:26Z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6DFCD09E93A74966B4A21B163D67F70F</vt:lpwstr>
  </property>
</Properties>
</file>