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210705</w:t>
      </w:r>
    </w:p>
    <w:p>
      <w:pPr>
        <w:ind w:firstLine="2100" w:firstLineChars="750"/>
        <w:rPr>
          <w:rFonts w:ascii="仿宋_GB2312" w:eastAsia="仿宋_GB2312"/>
          <w:sz w:val="28"/>
        </w:rPr>
      </w:pPr>
    </w:p>
    <w:p>
      <w:pPr>
        <w:ind w:firstLine="321" w:firstLineChars="100"/>
        <w:jc w:val="center"/>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办公家具（二次）采购</w:t>
      </w:r>
      <w:bookmarkStart w:id="0" w:name="_GoBack"/>
      <w:bookmarkEnd w:id="0"/>
      <w:r>
        <w:rPr>
          <w:rFonts w:hint="eastAsia" w:ascii="仿宋_GB2312" w:hAnsi="Courier New" w:eastAsia="仿宋_GB2312"/>
          <w:b/>
          <w:sz w:val="30"/>
          <w:szCs w:val="30"/>
          <w:u w:val="single"/>
          <w:lang w:val="en-US" w:eastAsia="zh-CN"/>
        </w:rPr>
        <w:t>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后勤管理处办公家具</w:t>
      </w:r>
      <w:r>
        <w:rPr>
          <w:rFonts w:hint="eastAsia" w:ascii="仿宋_GB2312" w:hAnsi="宋体" w:eastAsia="仿宋_GB2312"/>
          <w:sz w:val="24"/>
        </w:rPr>
        <w:t>项目进行比价采购，特邀请国内合格的供应商前来提交密封的比价文件。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210705</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办公家具（二次）采购</w:t>
      </w:r>
      <w:r>
        <w:rPr>
          <w:rFonts w:hint="eastAsia" w:ascii="仿宋_GB2312" w:hAnsi="宋体" w:eastAsia="仿宋_GB2312"/>
          <w:sz w:val="24"/>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7</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3</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2021年7月7日下午3：00（北京时间）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许寿楷</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jc w:val="center"/>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办公家具采购项目</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54790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7</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3</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办公家具（二次）采购</w:t>
      </w:r>
      <w:r>
        <w:rPr>
          <w:rFonts w:hint="eastAsia" w:ascii="仿宋_GB2312" w:hAnsi="宋体" w:eastAsia="仿宋_GB2312"/>
          <w:sz w:val="24"/>
        </w:rPr>
        <w:t>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详见采购内容及要求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2021年7月17日前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191"/>
        <w:gridCol w:w="767"/>
        <w:gridCol w:w="808"/>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4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9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67"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80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5003"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jc w:val="center"/>
        </w:trPr>
        <w:tc>
          <w:tcPr>
            <w:tcW w:w="549"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办公桌</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5003" w:type="dxa"/>
            <w:vAlign w:val="center"/>
          </w:tcPr>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面料：采用贴纸饰面，贴纸封边，台面颜色均匀，纹理自然，拼接严密,桌面厚≥50mm。</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基材：采用优质中密度板，达到国家检测E1标准，符合国家环境保护标准要求。</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油漆：采用环保聚酯漆，采用五底三面的八道油漆涂装工艺，保证产品光泽、平整、纹理清晰、环保、颜色要求内外一致。</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五金配件：采用品牌五金配件。</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右边设计为三个抽屉并配锁，左边设计为橱柜（电脑主机位）背面有散热洞孔，抽屉采用优质品牌轨道且开起自如，抽屉内基材采用优质中密度板并贴纸厚度为12mm以上，带有键盘，配有中层隔板宽为200mm。</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6、</w:t>
            </w:r>
            <w:r>
              <w:rPr>
                <w:rFonts w:hint="eastAsia" w:ascii="仿宋" w:hAnsi="仿宋" w:eastAsia="仿宋" w:cs="仿宋"/>
                <w:sz w:val="20"/>
                <w:szCs w:val="20"/>
              </w:rPr>
              <w:t>桌面需有电脑线孔且配有塑料孔套（参照参考图）。</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7、</w:t>
            </w:r>
            <w:r>
              <w:rPr>
                <w:rFonts w:hint="eastAsia" w:ascii="仿宋" w:hAnsi="仿宋" w:eastAsia="仿宋" w:cs="仿宋"/>
                <w:sz w:val="20"/>
                <w:szCs w:val="20"/>
              </w:rPr>
              <w:t>双边桌脚为宽面脚、基材厚为10mm以上并贴纸封边（参照参考图）。</w:t>
            </w:r>
          </w:p>
          <w:p>
            <w:pPr>
              <w:jc w:val="left"/>
              <w:rPr>
                <w:rFonts w:hint="eastAsia" w:ascii="仿宋_GB2312" w:hAnsi="仿宋_GB2312" w:eastAsia="仿宋_GB2312" w:cs="仿宋_GB2312"/>
                <w:sz w:val="24"/>
                <w:szCs w:val="24"/>
                <w:lang w:val="en-US" w:eastAsia="zh-CN"/>
              </w:rPr>
            </w:pPr>
            <w:r>
              <w:rPr>
                <w:rFonts w:hint="eastAsia" w:ascii="仿宋" w:hAnsi="仿宋" w:eastAsia="仿宋" w:cs="仿宋"/>
                <w:sz w:val="20"/>
                <w:szCs w:val="20"/>
              </w:rPr>
              <w:t>8、尺寸：长1400mm×宽700mm×高760mm。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弓形椅</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5003" w:type="dxa"/>
            <w:vAlign w:val="center"/>
          </w:tcPr>
          <w:p>
            <w:pPr>
              <w:jc w:val="left"/>
              <w:rPr>
                <w:rFonts w:hint="eastAsia" w:ascii="仿宋_GB2312" w:hAnsi="仿宋_GB2312" w:eastAsia="仿宋_GB2312" w:cs="仿宋_GB2312"/>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优质西皮面料，泡棉采用优质低燃性成型泡棉；表面有一层防老化保护膜，可防氧化。                                 2.骨架一体成型15mm曲木板；电镀弓形脚架。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文件柜</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5003" w:type="dxa"/>
            <w:vAlign w:val="center"/>
          </w:tcPr>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基材：采用优质高密度板，经防虫、防腐、防霉等化学处理。</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面料：采用进口胡桃木皮（0.6mm）饰面，胡桃木实木封边，板面颜色均匀，纹理自然，拼接严密。</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油漆：采用名牌优质环保聚脂油漆，涂层平整、光滑、清晰、无颗粒、气泡、渣点，颜色均匀。</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五金配件：采用优质名牌五金配件，开启灵活轻便，各部位安装结构严密、牢固可靠、平稳，无松动、倾斜、摇晃等现象、上部份柜门配有玻璃并需配锁。</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柜内共分为5层（上部分为三层，下部分为二层），层板厚度1</w:t>
            </w:r>
            <w:r>
              <w:rPr>
                <w:rFonts w:hint="eastAsia" w:ascii="仿宋" w:hAnsi="仿宋" w:eastAsia="仿宋" w:cs="仿宋"/>
                <w:sz w:val="20"/>
                <w:szCs w:val="20"/>
                <w:lang w:val="en-US" w:eastAsia="zh-CN"/>
              </w:rPr>
              <w:t>3</w:t>
            </w:r>
            <w:r>
              <w:rPr>
                <w:rFonts w:hint="eastAsia" w:ascii="仿宋" w:hAnsi="仿宋" w:eastAsia="仿宋" w:cs="仿宋"/>
                <w:sz w:val="20"/>
                <w:szCs w:val="20"/>
              </w:rPr>
              <w:t>mm以上。</w:t>
            </w:r>
          </w:p>
          <w:p>
            <w:pPr>
              <w:jc w:val="left"/>
              <w:rPr>
                <w:rFonts w:hint="eastAsia" w:ascii="仿宋_GB2312" w:hAnsi="仿宋_GB2312" w:eastAsia="仿宋_GB2312" w:cs="仿宋_GB2312"/>
                <w:sz w:val="20"/>
                <w:szCs w:val="20"/>
              </w:rPr>
            </w:pPr>
            <w:r>
              <w:rPr>
                <w:rFonts w:hint="eastAsia" w:ascii="仿宋" w:hAnsi="仿宋" w:eastAsia="仿宋" w:cs="仿宋"/>
                <w:sz w:val="20"/>
                <w:szCs w:val="20"/>
                <w:lang w:val="en-US" w:eastAsia="zh-CN"/>
              </w:rPr>
              <w:t>6、</w:t>
            </w:r>
            <w:r>
              <w:rPr>
                <w:rFonts w:hint="eastAsia" w:ascii="仿宋" w:hAnsi="仿宋" w:eastAsia="仿宋" w:cs="仿宋"/>
                <w:sz w:val="20"/>
                <w:szCs w:val="20"/>
              </w:rPr>
              <w:t>尺寸：</w:t>
            </w:r>
            <w:r>
              <w:rPr>
                <w:rFonts w:hint="eastAsia" w:ascii="仿宋" w:hAnsi="仿宋" w:eastAsia="仿宋" w:cs="仿宋"/>
                <w:sz w:val="20"/>
                <w:szCs w:val="20"/>
                <w:lang w:val="en-US" w:eastAsia="zh-CN"/>
              </w:rPr>
              <w:t>21</w:t>
            </w:r>
            <w:r>
              <w:rPr>
                <w:rFonts w:hint="eastAsia" w:ascii="仿宋" w:hAnsi="仿宋" w:eastAsia="仿宋" w:cs="仿宋"/>
                <w:sz w:val="20"/>
                <w:szCs w:val="20"/>
              </w:rPr>
              <w:t>00mm*800mm*3</w:t>
            </w:r>
            <w:r>
              <w:rPr>
                <w:rFonts w:hint="eastAsia" w:ascii="仿宋" w:hAnsi="仿宋" w:eastAsia="仿宋" w:cs="仿宋"/>
                <w:sz w:val="20"/>
                <w:szCs w:val="20"/>
                <w:lang w:val="en-US" w:eastAsia="zh-CN"/>
              </w:rPr>
              <w:t>50</w:t>
            </w:r>
            <w:r>
              <w:rPr>
                <w:rFonts w:hint="eastAsia" w:ascii="仿宋" w:hAnsi="仿宋" w:eastAsia="仿宋" w:cs="仿宋"/>
                <w:sz w:val="20"/>
                <w:szCs w:val="20"/>
              </w:rPr>
              <w:t>mm。</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F74583E"/>
    <w:rsid w:val="0FD008A1"/>
    <w:rsid w:val="109E16A7"/>
    <w:rsid w:val="141752E0"/>
    <w:rsid w:val="1FEB032D"/>
    <w:rsid w:val="241B3227"/>
    <w:rsid w:val="2DCB1564"/>
    <w:rsid w:val="2F304E83"/>
    <w:rsid w:val="301A3AC0"/>
    <w:rsid w:val="36F07CAA"/>
    <w:rsid w:val="3A986F70"/>
    <w:rsid w:val="3C4A59C3"/>
    <w:rsid w:val="3F674148"/>
    <w:rsid w:val="41E247E3"/>
    <w:rsid w:val="44541483"/>
    <w:rsid w:val="461421B2"/>
    <w:rsid w:val="4CAE1A57"/>
    <w:rsid w:val="514F4C75"/>
    <w:rsid w:val="529D3823"/>
    <w:rsid w:val="5737455B"/>
    <w:rsid w:val="639A1969"/>
    <w:rsid w:val="64C42094"/>
    <w:rsid w:val="6AA64885"/>
    <w:rsid w:val="6E693E07"/>
    <w:rsid w:val="6F84508F"/>
    <w:rsid w:val="705D3363"/>
    <w:rsid w:val="74E3693A"/>
    <w:rsid w:val="76B94354"/>
    <w:rsid w:val="76E157C9"/>
    <w:rsid w:val="7BBC72B2"/>
    <w:rsid w:val="7CB6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50</TotalTime>
  <ScaleCrop>false</ScaleCrop>
  <LinksUpToDate>false</LinksUpToDate>
  <CharactersWithSpaces>1697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2019-12-02T07:52:00Z</cp:lastPrinted>
  <dcterms:modified xsi:type="dcterms:W3CDTF">2021-07-05T02:08:47Z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E9F91885463E44A0A6957E474503254C</vt:lpwstr>
  </property>
</Properties>
</file>