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hqc20221216</w:t>
      </w:r>
    </w:p>
    <w:p>
      <w:pPr>
        <w:ind w:firstLine="2100" w:firstLineChars="750"/>
        <w:rPr>
          <w:rFonts w:ascii="仿宋_GB2312" w:eastAsia="仿宋_GB2312"/>
          <w:sz w:val="28"/>
        </w:rPr>
      </w:pPr>
    </w:p>
    <w:p>
      <w:pPr>
        <w:ind w:left="3810" w:leftChars="1057" w:hanging="1590" w:hangingChars="495"/>
        <w:rPr>
          <w:rFonts w:ascii="仿宋_GB2312" w:eastAsia="仿宋_GB2312"/>
          <w:b/>
          <w:bCs/>
          <w:sz w:val="32"/>
        </w:rPr>
      </w:pPr>
      <w:r>
        <w:rPr>
          <w:rFonts w:hint="eastAsia" w:ascii="仿宋_GB2312" w:eastAsia="仿宋_GB2312"/>
          <w:b/>
          <w:bCs/>
          <w:sz w:val="32"/>
        </w:rPr>
        <w:t>项目名称：</w:t>
      </w:r>
      <w:r>
        <w:rPr>
          <w:rFonts w:hint="eastAsia" w:ascii="仿宋_GB2312" w:eastAsia="仿宋_GB2312"/>
          <w:b/>
          <w:bCs/>
          <w:sz w:val="32"/>
          <w:lang w:eastAsia="zh-CN"/>
        </w:rPr>
        <w:t>电梯维保服务</w:t>
      </w:r>
      <w:r>
        <w:rPr>
          <w:rFonts w:hint="eastAsia" w:ascii="仿宋_GB2312" w:eastAsia="仿宋_GB2312"/>
          <w:b/>
          <w:bCs/>
          <w:sz w:val="32"/>
        </w:rPr>
        <w:t>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eastAsia="zh-CN"/>
        </w:rPr>
        <w:t>二二</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十二</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7" w:type="first"/>
          <w:footerReference r:id="rId10" w:type="first"/>
          <w:headerReference r:id="rId5" w:type="default"/>
          <w:footerReference r:id="rId8" w:type="default"/>
          <w:headerReference r:id="rId6" w:type="even"/>
          <w:footerReference r:id="rId9"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后勤处</w:t>
      </w:r>
      <w:r>
        <w:rPr>
          <w:rFonts w:hint="eastAsia" w:ascii="仿宋_GB2312" w:hAnsi="宋体" w:eastAsia="仿宋_GB2312"/>
          <w:sz w:val="24"/>
        </w:rPr>
        <w:t>所需的</w:t>
      </w:r>
      <w:r>
        <w:rPr>
          <w:rFonts w:hint="eastAsia" w:ascii="仿宋_GB2312" w:hAnsi="宋体" w:eastAsia="仿宋_GB2312"/>
          <w:sz w:val="24"/>
          <w:lang w:eastAsia="zh-CN"/>
        </w:rPr>
        <w:t>电梯维保采购</w:t>
      </w:r>
      <w:r>
        <w:rPr>
          <w:rFonts w:hint="eastAsia" w:ascii="仿宋_GB2312" w:hAnsi="宋体" w:eastAsia="仿宋_GB2312"/>
          <w:sz w:val="24"/>
        </w:rPr>
        <w:t>项目进行比价采购，特邀请国内合格的</w:t>
      </w:r>
      <w:r>
        <w:rPr>
          <w:rFonts w:hint="eastAsia" w:ascii="仿宋_GB2312" w:hAnsi="宋体" w:eastAsia="仿宋_GB2312"/>
          <w:sz w:val="24"/>
          <w:lang w:eastAsia="zh-CN"/>
        </w:rPr>
        <w:t>维保单位</w:t>
      </w:r>
      <w:r>
        <w:rPr>
          <w:rFonts w:hint="eastAsia" w:ascii="仿宋_GB2312" w:hAnsi="宋体" w:eastAsia="仿宋_GB2312"/>
          <w:sz w:val="24"/>
        </w:rPr>
        <w:t>前来提交密封的比价文件。</w:t>
      </w:r>
    </w:p>
    <w:p>
      <w:pPr>
        <w:numPr>
          <w:ilvl w:val="0"/>
          <w:numId w:val="1"/>
        </w:numPr>
        <w:spacing w:line="500" w:lineRule="exact"/>
        <w:ind w:left="-50" w:right="-181" w:firstLine="480" w:firstLineChars="200"/>
        <w:rPr>
          <w:rFonts w:hint="eastAsia" w:ascii="仿宋_GB2312" w:hAnsi="宋体" w:eastAsia="仿宋_GB2312"/>
          <w:sz w:val="24"/>
          <w:lang w:val="en-US" w:eastAsia="zh-CN"/>
        </w:rPr>
      </w:pPr>
      <w:r>
        <w:rPr>
          <w:rFonts w:hint="eastAsia" w:ascii="仿宋_GB2312" w:hAnsi="宋体" w:eastAsia="仿宋_GB2312"/>
          <w:sz w:val="24"/>
        </w:rPr>
        <w:t>采购编号：</w:t>
      </w:r>
      <w:r>
        <w:rPr>
          <w:rFonts w:hint="eastAsia" w:ascii="仿宋_GB2312" w:hAnsi="宋体" w:eastAsia="仿宋_GB2312"/>
          <w:sz w:val="24"/>
          <w:lang w:val="en-US" w:eastAsia="zh-CN"/>
        </w:rPr>
        <w:t>hqc20221216</w:t>
      </w:r>
    </w:p>
    <w:p>
      <w:pPr>
        <w:numPr>
          <w:ilvl w:val="0"/>
          <w:numId w:val="1"/>
        </w:num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电梯维保</w:t>
      </w:r>
      <w:r>
        <w:rPr>
          <w:rFonts w:hint="eastAsia" w:ascii="仿宋_GB2312" w:hAnsi="宋体" w:eastAsia="仿宋_GB2312"/>
          <w:sz w:val="24"/>
        </w:rPr>
        <w:t>采购项目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w:t>
      </w:r>
      <w:r>
        <w:rPr>
          <w:rFonts w:hint="eastAsia" w:ascii="仿宋_GB2312" w:hAnsi="宋体" w:eastAsia="仿宋_GB2312"/>
          <w:sz w:val="24"/>
          <w:lang w:eastAsia="zh-CN"/>
        </w:rPr>
        <w:t>维保单位</w:t>
      </w:r>
      <w:r>
        <w:rPr>
          <w:rFonts w:hint="eastAsia" w:ascii="仿宋_GB2312" w:hAnsi="宋体" w:eastAsia="仿宋_GB2312"/>
          <w:sz w:val="24"/>
        </w:rPr>
        <w:t>。</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22</w:t>
      </w:r>
      <w:r>
        <w:rPr>
          <w:rFonts w:hint="eastAsia" w:ascii="仿宋_GB2312" w:hAnsi="宋体" w:eastAsia="仿宋_GB2312"/>
          <w:sz w:val="24"/>
        </w:rPr>
        <w:t>年</w:t>
      </w:r>
      <w:r>
        <w:rPr>
          <w:rFonts w:hint="eastAsia" w:ascii="仿宋_GB2312" w:hAnsi="宋体" w:eastAsia="仿宋_GB2312"/>
          <w:sz w:val="24"/>
          <w:lang w:val="en-US" w:eastAsia="zh-CN"/>
        </w:rPr>
        <w:t>12</w:t>
      </w:r>
      <w:r>
        <w:rPr>
          <w:rFonts w:hint="eastAsia" w:ascii="仿宋_GB2312" w:hAnsi="宋体" w:eastAsia="仿宋_GB2312"/>
          <w:sz w:val="24"/>
        </w:rPr>
        <w:t>月</w:t>
      </w:r>
      <w:r>
        <w:rPr>
          <w:rFonts w:hint="eastAsia" w:ascii="仿宋_GB2312" w:hAnsi="宋体" w:eastAsia="仿宋_GB2312"/>
          <w:sz w:val="24"/>
          <w:lang w:val="en-US" w:eastAsia="zh-CN"/>
        </w:rPr>
        <w:t>23</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2022</w:t>
      </w:r>
      <w:commentRangeStart w:id="0"/>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日上午</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：00（北京时间）</w:t>
      </w:r>
      <w:commentRangeEnd w:id="0"/>
      <w:r>
        <w:rPr>
          <w:color w:val="FFFFFF" w:themeColor="background1"/>
          <w14:textFill>
            <w14:solidFill>
              <w14:schemeClr w14:val="bg1"/>
            </w14:solidFill>
          </w14:textFill>
        </w:rPr>
        <w:commentReference w:id="0"/>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lang w:eastAsia="zh-CN"/>
        </w:rPr>
        <w:t>综合楼</w:t>
      </w:r>
      <w:r>
        <w:rPr>
          <w:rFonts w:hint="eastAsia"/>
          <w:lang w:val="en-US" w:eastAsia="zh-CN"/>
        </w:rPr>
        <w:t>317</w:t>
      </w:r>
      <w:r>
        <w:rPr>
          <w:rFonts w:hint="eastAsia"/>
        </w:rPr>
        <w:t xml:space="preserve"> </w:t>
      </w:r>
    </w:p>
    <w:p>
      <w:pPr>
        <w:spacing w:line="500" w:lineRule="exact"/>
        <w:ind w:firstLine="480" w:firstLineChars="200"/>
        <w:rPr>
          <w:rFonts w:ascii="仿宋_GB2312" w:hAnsi="宋体" w:eastAsia="仿宋_GB2312"/>
          <w:color w:val="000000" w:themeColor="text1"/>
          <w:sz w:val="24"/>
          <w14:textFill>
            <w14:solidFill>
              <w14:schemeClr w14:val="tx1"/>
            </w14:solidFill>
          </w14:textFill>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8823829</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徐志明</w:t>
      </w:r>
      <w:r>
        <w:rPr>
          <w:rFonts w:hint="eastAsia" w:ascii="仿宋_GB2312" w:hAnsi="宋体" w:eastAsia="仿宋_GB2312"/>
          <w:sz w:val="24"/>
        </w:rPr>
        <w:t xml:space="preserve">             邮箱：</w:t>
      </w:r>
      <w:r>
        <w:rPr>
          <w:rFonts w:hint="eastAsia" w:ascii="仿宋_GB2312" w:hAnsi="宋体" w:eastAsia="仿宋_GB2312"/>
          <w:sz w:val="24"/>
          <w:lang w:val="en-US" w:eastAsia="zh-CN"/>
        </w:rPr>
        <w:t>46387008@qq.com</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spacing w:line="500" w:lineRule="exact"/>
              <w:ind w:left="-50" w:right="-181" w:firstLine="40" w:firstLineChars="17"/>
              <w:jc w:val="center"/>
              <w:rPr>
                <w:rFonts w:ascii="仿宋_GB2312" w:hAnsi="宋体" w:eastAsia="仿宋_GB2312"/>
                <w:sz w:val="24"/>
              </w:rPr>
            </w:pPr>
            <w:r>
              <w:rPr>
                <w:rFonts w:hint="eastAsia" w:ascii="仿宋_GB2312" w:hAnsi="宋体" w:eastAsia="仿宋_GB2312"/>
                <w:sz w:val="24"/>
                <w:lang w:eastAsia="zh-CN"/>
              </w:rPr>
              <w:t>电梯维保</w:t>
            </w:r>
          </w:p>
          <w:p>
            <w:pPr>
              <w:pStyle w:val="3"/>
              <w:spacing w:line="0" w:lineRule="atLeast"/>
              <w:ind w:firstLine="0"/>
              <w:rPr>
                <w:rFonts w:ascii="仿宋_GB2312" w:eastAsia="仿宋_GB2312"/>
                <w:sz w:val="24"/>
                <w:szCs w:val="24"/>
              </w:rPr>
            </w:pP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38880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11" w:type="default"/>
          <w:footerReference r:id="rId12"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22</w:t>
      </w:r>
      <w:r>
        <w:rPr>
          <w:rFonts w:hint="eastAsia" w:ascii="仿宋_GB2312" w:hAnsi="宋体" w:eastAsia="仿宋_GB2312"/>
          <w:sz w:val="24"/>
        </w:rPr>
        <w:t>年</w:t>
      </w:r>
      <w:r>
        <w:rPr>
          <w:rFonts w:hint="eastAsia" w:ascii="仿宋_GB2312" w:hAnsi="宋体" w:eastAsia="仿宋_GB2312"/>
          <w:sz w:val="24"/>
          <w:lang w:val="en-US" w:eastAsia="zh-CN"/>
        </w:rPr>
        <w:t>12</w:t>
      </w:r>
      <w:r>
        <w:rPr>
          <w:rFonts w:hint="eastAsia" w:ascii="仿宋_GB2312" w:hAnsi="宋体" w:eastAsia="仿宋_GB2312"/>
          <w:sz w:val="24"/>
        </w:rPr>
        <w:t>月</w:t>
      </w:r>
      <w:r>
        <w:rPr>
          <w:rFonts w:hint="eastAsia" w:ascii="仿宋_GB2312" w:hAnsi="宋体" w:eastAsia="仿宋_GB2312"/>
          <w:sz w:val="24"/>
          <w:lang w:val="en-US" w:eastAsia="zh-CN"/>
        </w:rPr>
        <w:t>23</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 xml:space="preserve">：00（北京时间）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w:t>
      </w:r>
      <w:r>
        <w:rPr>
          <w:rFonts w:hint="eastAsia" w:ascii="仿宋_GB2312" w:hAnsi="宋体" w:eastAsia="仿宋_GB2312"/>
          <w:sz w:val="24"/>
          <w:lang w:eastAsia="zh-CN"/>
        </w:rPr>
        <w:t>维保单位</w:t>
      </w:r>
      <w:r>
        <w:rPr>
          <w:rFonts w:hint="eastAsia" w:ascii="仿宋_GB2312" w:hAnsi="宋体" w:eastAsia="仿宋_GB2312"/>
          <w:sz w:val="24"/>
        </w:rPr>
        <w:t>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hint="eastAsia" w:ascii="仿宋_GB2312" w:hAnsi="宋体" w:eastAsia="仿宋_GB2312"/>
          <w:b/>
          <w:color w:val="FF0000"/>
          <w:sz w:val="24"/>
          <w:lang w:eastAsia="zh-CN"/>
        </w:rPr>
      </w:pPr>
      <w:r>
        <w:rPr>
          <w:rFonts w:hint="eastAsia" w:ascii="仿宋_GB2312" w:eastAsia="仿宋_GB2312"/>
          <w:b/>
          <w:bCs/>
          <w:sz w:val="24"/>
        </w:rPr>
        <w:t>三、本比价文件的解释权属于</w:t>
      </w:r>
      <w:r>
        <w:rPr>
          <w:rFonts w:hint="eastAsia" w:ascii="仿宋_GB2312" w:eastAsia="仿宋_GB2312"/>
          <w:b/>
          <w:bCs/>
          <w:sz w:val="24"/>
          <w:lang w:eastAsia="zh-CN"/>
        </w:rPr>
        <w:t>后勤处</w:t>
      </w:r>
    </w:p>
    <w:p>
      <w:pPr>
        <w:spacing w:line="460" w:lineRule="exact"/>
        <w:rPr>
          <w:rFonts w:ascii="仿宋_GB2312" w:eastAsia="仿宋_GB2312"/>
          <w:b/>
          <w:bCs/>
          <w:sz w:val="24"/>
        </w:rPr>
        <w:sectPr>
          <w:footerReference r:id="rId13" w:type="default"/>
          <w:footerReference r:id="rId14"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电梯维保</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w:t>
      </w:r>
      <w:r>
        <w:rPr>
          <w:rFonts w:hint="eastAsia" w:ascii="仿宋_GB2312" w:hAnsi="宋体" w:eastAsia="仿宋_GB2312"/>
          <w:b/>
          <w:sz w:val="24"/>
          <w:lang w:eastAsia="zh-CN"/>
        </w:rPr>
        <w:t>维保</w:t>
      </w:r>
      <w:r>
        <w:rPr>
          <w:rFonts w:hint="eastAsia" w:ascii="仿宋_GB2312" w:hAnsi="宋体" w:eastAsia="仿宋_GB2312"/>
          <w:b/>
          <w:sz w:val="24"/>
        </w:rPr>
        <w:t>期限 ：</w:t>
      </w:r>
      <w:r>
        <w:rPr>
          <w:rFonts w:hint="eastAsia" w:ascii="仿宋_GB2312" w:hAnsi="宋体" w:eastAsia="仿宋_GB2312"/>
          <w:sz w:val="24"/>
          <w:lang w:val="en-US" w:eastAsia="zh-CN"/>
        </w:rPr>
        <w:t>2023年1月15日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lang w:eastAsia="zh-CN"/>
              </w:rPr>
              <w:t>电梯维保</w:t>
            </w:r>
          </w:p>
        </w:tc>
        <w:tc>
          <w:tcPr>
            <w:tcW w:w="1134" w:type="dxa"/>
            <w:vAlign w:val="center"/>
          </w:tcPr>
          <w:p>
            <w:pPr>
              <w:jc w:val="center"/>
              <w:rPr>
                <w:rFonts w:hint="eastAsia" w:ascii="宋体" w:hAnsi="宋体" w:eastAsia="宋体" w:cs="宋体"/>
                <w:szCs w:val="21"/>
                <w:lang w:eastAsia="zh-CN"/>
              </w:rPr>
            </w:pPr>
            <w:r>
              <w:rPr>
                <w:rFonts w:hint="eastAsia" w:ascii="宋体" w:hAnsi="宋体" w:cs="宋体"/>
                <w:szCs w:val="21"/>
                <w:lang w:eastAsia="zh-CN"/>
              </w:rPr>
              <w:t>批</w:t>
            </w:r>
          </w:p>
        </w:tc>
        <w:tc>
          <w:tcPr>
            <w:tcW w:w="1311" w:type="dxa"/>
            <w:vAlign w:val="center"/>
          </w:tcPr>
          <w:p>
            <w:pPr>
              <w:jc w:val="center"/>
              <w:rPr>
                <w:rFonts w:hint="default" w:ascii="宋体" w:hAnsi="宋体" w:cs="宋体"/>
                <w:szCs w:val="21"/>
                <w:lang w:val="en-US" w:eastAsia="zh-CN"/>
              </w:rPr>
            </w:pPr>
            <w:r>
              <w:rPr>
                <w:rFonts w:hint="eastAsia" w:ascii="宋体" w:hAnsi="宋体" w:cs="宋体"/>
                <w:szCs w:val="21"/>
                <w:lang w:val="en-US" w:eastAsia="zh-CN"/>
              </w:rPr>
              <w:t>1</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hint="eastAsia" w:ascii="宋体" w:hAnsi="宋体" w:eastAsia="宋体" w:cs="Arial Unicode MS"/>
                <w:szCs w:val="21"/>
                <w:lang w:eastAsia="zh-CN"/>
              </w:rPr>
            </w:pPr>
          </w:p>
        </w:tc>
        <w:tc>
          <w:tcPr>
            <w:tcW w:w="1134" w:type="dxa"/>
            <w:vAlign w:val="center"/>
          </w:tcPr>
          <w:p>
            <w:pPr>
              <w:jc w:val="center"/>
              <w:rPr>
                <w:rFonts w:hint="eastAsia" w:ascii="宋体" w:hAnsi="宋体" w:eastAsia="宋体"/>
                <w:szCs w:val="21"/>
                <w:lang w:eastAsia="zh-CN"/>
              </w:rPr>
            </w:pPr>
          </w:p>
        </w:tc>
        <w:tc>
          <w:tcPr>
            <w:tcW w:w="1311" w:type="dxa"/>
            <w:vAlign w:val="center"/>
          </w:tcPr>
          <w:p>
            <w:pPr>
              <w:jc w:val="center"/>
              <w:rPr>
                <w:rFonts w:hint="default" w:ascii="宋体" w:hAnsi="宋体" w:eastAsia="宋体" w:cs="宋体"/>
                <w:szCs w:val="21"/>
                <w:lang w:val="en-US" w:eastAsia="zh-CN"/>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hint="eastAsia" w:ascii="宋体" w:hAnsi="宋体" w:eastAsia="宋体" w:cs="Arial Unicode MS"/>
                <w:szCs w:val="21"/>
                <w:lang w:eastAsia="zh-CN"/>
              </w:rPr>
            </w:pPr>
          </w:p>
        </w:tc>
        <w:tc>
          <w:tcPr>
            <w:tcW w:w="1134" w:type="dxa"/>
            <w:vAlign w:val="center"/>
          </w:tcPr>
          <w:p>
            <w:pPr>
              <w:jc w:val="center"/>
              <w:rPr>
                <w:rFonts w:hint="eastAsia" w:ascii="宋体" w:hAnsi="宋体" w:eastAsia="宋体"/>
                <w:szCs w:val="21"/>
                <w:lang w:eastAsia="zh-CN"/>
              </w:rPr>
            </w:pPr>
          </w:p>
        </w:tc>
        <w:tc>
          <w:tcPr>
            <w:tcW w:w="1311" w:type="dxa"/>
            <w:vAlign w:val="center"/>
          </w:tcPr>
          <w:p>
            <w:pPr>
              <w:jc w:val="center"/>
              <w:rPr>
                <w:rFonts w:hint="default" w:ascii="宋体" w:hAnsi="宋体" w:eastAsia="宋体" w:cs="宋体"/>
                <w:szCs w:val="21"/>
                <w:lang w:val="en-US" w:eastAsia="zh-CN"/>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c>
          <w:tcPr>
            <w:tcW w:w="1468" w:type="dxa"/>
            <w:vAlign w:val="center"/>
          </w:tcPr>
          <w:p>
            <w:pPr>
              <w:jc w:val="center"/>
              <w:rPr>
                <w:rFonts w:ascii="宋体" w:hAnsi="宋体" w:cs="Arial Unicode MS"/>
                <w:szCs w:val="21"/>
              </w:rPr>
            </w:pPr>
          </w:p>
        </w:tc>
        <w:tc>
          <w:tcPr>
            <w:tcW w:w="1134" w:type="dxa"/>
            <w:vAlign w:val="center"/>
          </w:tcPr>
          <w:p>
            <w:pPr>
              <w:jc w:val="center"/>
              <w:rPr>
                <w:rFonts w:ascii="宋体" w:hAnsi="宋体"/>
                <w:szCs w:val="21"/>
              </w:rPr>
            </w:pPr>
          </w:p>
        </w:tc>
        <w:tc>
          <w:tcPr>
            <w:tcW w:w="1311" w:type="dxa"/>
            <w:vAlign w:val="center"/>
          </w:tcPr>
          <w:p>
            <w:pPr>
              <w:jc w:val="center"/>
              <w:rPr>
                <w:rFonts w:ascii="宋体" w:hAnsi="宋体" w:cs="宋体"/>
                <w:szCs w:val="21"/>
              </w:rPr>
            </w:pP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eastAsia="zh-CN"/>
        </w:rPr>
        <w:t>服务</w:t>
      </w:r>
      <w:r>
        <w:rPr>
          <w:rFonts w:hint="eastAsia" w:ascii="仿宋_GB2312" w:hAnsi="宋体" w:eastAsia="仿宋_GB2312"/>
          <w:sz w:val="24"/>
        </w:rPr>
        <w:t>执行标准：</w:t>
      </w:r>
      <w:r>
        <w:rPr>
          <w:rFonts w:hint="eastAsia" w:ascii="仿宋_GB2312" w:hAnsi="宋体" w:eastAsia="仿宋_GB2312"/>
          <w:sz w:val="24"/>
          <w:lang w:eastAsia="zh-CN"/>
        </w:rPr>
        <w:t>符合国家标准</w:t>
      </w:r>
      <w:r>
        <w:rPr>
          <w:rFonts w:hint="eastAsia" w:ascii="仿宋_GB2312" w:hAnsi="宋体" w:eastAsia="仿宋_GB2312"/>
          <w:sz w:val="24"/>
        </w:rPr>
        <w:t>。</w:t>
      </w:r>
    </w:p>
    <w:p>
      <w:pPr>
        <w:keepNext w:val="0"/>
        <w:keepLines w:val="0"/>
        <w:pageBreakBefore w:val="0"/>
        <w:widowControl w:val="0"/>
        <w:kinsoku/>
        <w:wordWrap/>
        <w:overflowPunct/>
        <w:topLinePunct w:val="0"/>
        <w:autoSpaceDE/>
        <w:autoSpaceDN/>
        <w:bidi w:val="0"/>
        <w:adjustRightInd/>
        <w:snapToGrid/>
        <w:ind w:left="0" w:firstLine="480" w:firstLineChars="200"/>
        <w:jc w:val="both"/>
        <w:textAlignment w:val="auto"/>
        <w:rPr>
          <w:rFonts w:ascii="仿宋_GB2312" w:hAnsi="宋体" w:eastAsia="仿宋_GB2312"/>
          <w:sz w:val="24"/>
        </w:rPr>
      </w:pPr>
      <w:r>
        <w:rPr>
          <w:rFonts w:hint="eastAsia" w:ascii="仿宋_GB2312" w:hAnsi="宋体" w:eastAsia="仿宋_GB2312"/>
          <w:sz w:val="24"/>
        </w:rPr>
        <w:t>2．</w:t>
      </w:r>
      <w:r>
        <w:rPr>
          <w:rFonts w:hint="eastAsia" w:ascii="仿宋_GB2312" w:hAnsi="宋体" w:eastAsia="仿宋_GB2312" w:cs="宋体"/>
          <w:kern w:val="0"/>
          <w:sz w:val="24"/>
        </w:rPr>
        <w:t>保养项目应覆盖《电梯维护保养规则</w:t>
      </w:r>
      <w:r>
        <w:rPr>
          <w:rFonts w:hint="eastAsia" w:ascii="仿宋_GB2312" w:hAnsi="宋体" w:eastAsia="仿宋_GB2312"/>
          <w:kern w:val="0"/>
          <w:sz w:val="24"/>
        </w:rPr>
        <w:t>》规定的半月</w:t>
      </w:r>
      <w:r>
        <w:rPr>
          <w:rFonts w:hint="eastAsia" w:ascii="仿宋_GB2312" w:hAnsi="宋体" w:eastAsia="仿宋_GB2312" w:cs="宋体"/>
          <w:kern w:val="0"/>
          <w:sz w:val="24"/>
        </w:rPr>
        <w:t>、季度、半年、年度保养项目和电梯制造单位技术文件所要求的特殊保养项目，以及与电梯安全运行相关的其他项目。</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left="479" w:leftChars="228" w:firstLine="0" w:firstLineChars="0"/>
        <w:outlineLvl w:val="0"/>
        <w:rPr>
          <w:rFonts w:hint="eastAsia" w:ascii="仿宋_GB2312" w:hAnsi="宋体" w:eastAsia="仿宋_GB2312" w:cs="宋体-18030"/>
          <w:kern w:val="0"/>
          <w:sz w:val="24"/>
          <w:lang w:eastAsia="zh-CN"/>
        </w:rPr>
      </w:pPr>
      <w:r>
        <w:rPr>
          <w:rFonts w:hint="eastAsia" w:ascii="仿宋_GB2312" w:hAnsi="宋体" w:eastAsia="仿宋_GB2312"/>
          <w:sz w:val="24"/>
        </w:rPr>
        <w:t>1．配备持有电梯安全管理员资格证件的人员</w:t>
      </w:r>
      <w:r>
        <w:rPr>
          <w:rFonts w:hint="eastAsia" w:ascii="仿宋_GB2312" w:hAnsi="宋体" w:eastAsia="仿宋_GB2312" w:cs="宋体-18030"/>
          <w:kern w:val="0"/>
          <w:sz w:val="24"/>
        </w:rPr>
        <w:t>负责电梯的日常安全管理工作</w:t>
      </w:r>
      <w:r>
        <w:rPr>
          <w:rFonts w:hint="eastAsia" w:ascii="仿宋_GB2312" w:hAnsi="宋体" w:eastAsia="仿宋_GB2312" w:cs="宋体-18030"/>
          <w:kern w:val="0"/>
          <w:sz w:val="24"/>
          <w:lang w:eastAsia="zh-CN"/>
        </w:rPr>
        <w:t>。</w:t>
      </w:r>
    </w:p>
    <w:p>
      <w:pPr>
        <w:spacing w:line="440" w:lineRule="exact"/>
        <w:ind w:left="479" w:leftChars="228" w:firstLine="0" w:firstLineChars="0"/>
        <w:outlineLvl w:val="0"/>
        <w:rPr>
          <w:rFonts w:hint="default" w:ascii="仿宋_GB2312" w:hAnsi="宋体" w:eastAsia="仿宋_GB2312" w:cs="宋体-18030"/>
          <w:kern w:val="0"/>
          <w:sz w:val="24"/>
          <w:lang w:val="en-US" w:eastAsia="zh-CN"/>
        </w:rPr>
      </w:pPr>
      <w:r>
        <w:rPr>
          <w:rFonts w:hint="eastAsia" w:ascii="仿宋_GB2312" w:hAnsi="宋体" w:eastAsia="仿宋_GB2312" w:cs="宋体-18030"/>
          <w:kern w:val="0"/>
          <w:sz w:val="24"/>
          <w:lang w:val="en-US" w:eastAsia="zh-CN"/>
        </w:rPr>
        <w:t>2.</w:t>
      </w:r>
      <w:r>
        <w:rPr>
          <w:rFonts w:hint="eastAsia" w:ascii="仿宋_GB2312" w:hAnsi="宋体" w:eastAsia="仿宋_GB2312" w:cs="宋体-18030"/>
          <w:kern w:val="0"/>
          <w:sz w:val="24"/>
        </w:rPr>
        <w:t>保证电梯供电、消防、防雷、通风等系统安全可靠，</w:t>
      </w:r>
      <w:r>
        <w:rPr>
          <w:rFonts w:hint="eastAsia" w:ascii="仿宋_GB2312" w:hAnsi="宋体" w:eastAsia="仿宋_GB2312" w:cs="宋体"/>
          <w:kern w:val="0"/>
          <w:sz w:val="24"/>
        </w:rPr>
        <w:t>满足国家标准规定。</w:t>
      </w:r>
    </w:p>
    <w:p>
      <w:pPr>
        <w:spacing w:line="440" w:lineRule="exact"/>
        <w:ind w:left="479" w:leftChars="228" w:firstLine="0" w:firstLineChars="0"/>
        <w:outlineLvl w:val="0"/>
        <w:rPr>
          <w:rFonts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4</w:t>
      </w:r>
      <w:r>
        <w:rPr>
          <w:rFonts w:hint="eastAsia" w:ascii="仿宋_GB2312" w:hAnsi="宋体" w:eastAsia="仿宋_GB2312"/>
          <w:sz w:val="24"/>
        </w:rPr>
        <w:t>．报价人与采购单位双方签订合同并盖章生效后。</w:t>
      </w:r>
    </w:p>
    <w:p/>
    <w:p/>
    <w:p/>
    <w:p/>
    <w:p>
      <w:bookmarkStart w:id="0" w:name="_GoBack"/>
      <w:bookmarkEnd w:id="0"/>
    </w:p>
    <w:p>
      <w:pPr>
        <w:jc w:val="left"/>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黄文州" w:date="2019-10-12T15:07:00Z" w:initials="U">
    <w:p w14:paraId="5C255930">
      <w:pPr>
        <w:pStyle w:val="4"/>
      </w:pPr>
      <w:r>
        <w:rPr>
          <w:rFonts w:hint="eastAsia" w:ascii="仿宋_GB2312" w:hAnsi="宋体" w:eastAsia="仿宋_GB2312"/>
          <w:sz w:val="24"/>
        </w:rPr>
        <w:t>比价时间与密封报价截止时间一致。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C25593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7964D3"/>
    <w:multiLevelType w:val="singleLevel"/>
    <w:tmpl w:val="4A7964D3"/>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文州">
    <w15:presenceInfo w15:providerId="None" w15:userId="黄文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9D8310F"/>
    <w:rsid w:val="0F74583E"/>
    <w:rsid w:val="16E563C9"/>
    <w:rsid w:val="2B65640A"/>
    <w:rsid w:val="34EE6FE7"/>
    <w:rsid w:val="45C62860"/>
    <w:rsid w:val="47F10269"/>
    <w:rsid w:val="5460425C"/>
    <w:rsid w:val="619D0CDB"/>
    <w:rsid w:val="6B616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0</TotalTime>
  <ScaleCrop>false</ScaleCrop>
  <LinksUpToDate>false</LinksUpToDate>
  <CharactersWithSpaces>1697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2020-09-15T08:31:00Z</cp:lastPrinted>
  <dcterms:modified xsi:type="dcterms:W3CDTF">2022-12-16T08:55:18Z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B8FD3AB0CC6046848DA2FC3D035A0146</vt:lpwstr>
  </property>
</Properties>
</file>